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png" ContentType="image/png"/>
  <Override PartName="/word/media/image3.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Autospacing="1" w:afterAutospacing="1"/>
        <w:rPr>
          <w:bCs w:val="false"/>
          <w:sz w:val="36"/>
          <w:u w:val="none"/>
          <w:lang w:val="en-US"/>
        </w:rPr>
      </w:pPr>
      <w:r>
        <w:rPr>
          <w:bCs w:val="false"/>
          <w:sz w:val="36"/>
          <w:u w:val="none"/>
          <w:lang w:val="en-US"/>
        </w:rPr>
        <w:t xml:space="preserve">           </w:t>
      </w:r>
    </w:p>
    <w:p>
      <w:pPr>
        <w:pStyle w:val="Normal"/>
        <w:jc w:val="center"/>
        <w:rPr>
          <w:bCs w:val="false"/>
          <w:sz w:val="20"/>
          <w:szCs w:val="20"/>
          <w:u w:val="none"/>
          <w:lang w:val="en-US"/>
        </w:rPr>
      </w:pPr>
      <w:r>
        <w:rPr>
          <w:bCs w:val="false"/>
          <w:sz w:val="20"/>
          <w:szCs w:val="20"/>
          <w:u w:val="none"/>
          <w:lang w:val="en-US"/>
        </w:rPr>
      </w:r>
    </w:p>
    <w:p>
      <w:pPr>
        <w:pStyle w:val="Normal"/>
        <w:tabs>
          <w:tab w:val="clear" w:pos="720"/>
          <w:tab w:val="left" w:pos="6900" w:leader="none"/>
        </w:tabs>
        <w:jc w:val="center"/>
        <w:rPr>
          <w:rStyle w:val="sp-copyright"/>
        </w:rPr>
      </w:pPr>
      <w:bookmarkStart w:id="0" w:name="_Hlk71626501"/>
      <w:r>
        <w:drawing>
          <wp:anchor behindDoc="1" distT="0" distB="0" distL="0" distR="0" simplePos="0" locked="0" layoutInCell="0" allowOverlap="1" relativeHeight="2">
            <wp:simplePos x="0" y="0"/>
            <wp:positionH relativeFrom="column">
              <wp:posOffset>5294630</wp:posOffset>
            </wp:positionH>
            <wp:positionV relativeFrom="paragraph">
              <wp:posOffset>-66675</wp:posOffset>
            </wp:positionV>
            <wp:extent cx="742315" cy="742315"/>
            <wp:effectExtent l="0" t="0" r="0" b="0"/>
            <wp:wrapSquare wrapText="largest"/>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tretch>
                      <a:fillRect/>
                    </a:stretch>
                  </pic:blipFill>
                  <pic:spPr bwMode="auto">
                    <a:xfrm>
                      <a:off x="0" y="0"/>
                      <a:ext cx="742315" cy="742315"/>
                    </a:xfrm>
                    <a:prstGeom prst="rect">
                      <a:avLst/>
                    </a:prstGeom>
                  </pic:spPr>
                </pic:pic>
              </a:graphicData>
            </a:graphic>
          </wp:anchor>
        </w:drawing>
        <w:drawing>
          <wp:anchor behindDoc="1" distT="0" distB="0" distL="0" distR="0" simplePos="0" locked="0" layoutInCell="0" allowOverlap="1" relativeHeight="4">
            <wp:simplePos x="0" y="0"/>
            <wp:positionH relativeFrom="column">
              <wp:posOffset>-36830</wp:posOffset>
            </wp:positionH>
            <wp:positionV relativeFrom="paragraph">
              <wp:posOffset>57150</wp:posOffset>
            </wp:positionV>
            <wp:extent cx="738505" cy="618490"/>
            <wp:effectExtent l="0" t="0" r="0" b="0"/>
            <wp:wrapSquare wrapText="largest"/>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3"/>
                    <a:stretch>
                      <a:fillRect/>
                    </a:stretch>
                  </pic:blipFill>
                  <pic:spPr bwMode="auto">
                    <a:xfrm>
                      <a:off x="0" y="0"/>
                      <a:ext cx="738505" cy="618490"/>
                    </a:xfrm>
                    <a:prstGeom prst="rect">
                      <a:avLst/>
                    </a:prstGeom>
                  </pic:spPr>
                </pic:pic>
              </a:graphicData>
            </a:graphic>
          </wp:anchor>
        </w:drawing>
      </w:r>
      <w:r>
        <w:rPr>
          <w:rStyle w:val="sp-copyright"/>
          <w:sz w:val="44"/>
          <w:szCs w:val="44"/>
        </w:rPr>
        <w:t>SPORT MILTON KEYNES</w:t>
      </w:r>
      <w:bookmarkEnd w:id="0"/>
      <w:r>
        <w:rPr>
          <w:rStyle w:val="sp-copyright"/>
          <w:sz w:val="44"/>
          <w:szCs w:val="44"/>
        </w:rPr>
        <w:t xml:space="preserve"> CIC</w:t>
      </w:r>
    </w:p>
    <w:p>
      <w:pPr>
        <w:pStyle w:val="Normal"/>
        <w:tabs>
          <w:tab w:val="clear" w:pos="720"/>
          <w:tab w:val="left" w:pos="6900" w:leader="none"/>
        </w:tabs>
        <w:jc w:val="center"/>
        <w:rPr>
          <w:rStyle w:val="sp-copyright"/>
        </w:rPr>
      </w:pPr>
      <w:r>
        <w:rPr>
          <w:rFonts w:cs="Times New Roman" w:ascii="Times New Roman" w:hAnsi="Times New Roman"/>
          <w:sz w:val="20"/>
          <w:szCs w:val="20"/>
        </w:rPr>
        <w:t>Com</w:t>
      </w:r>
      <w:bookmarkStart w:id="1" w:name="_GoBack"/>
      <w:bookmarkEnd w:id="1"/>
      <w:r>
        <w:rPr>
          <w:rFonts w:cs="Times New Roman" w:ascii="Times New Roman" w:hAnsi="Times New Roman"/>
          <w:sz w:val="20"/>
          <w:szCs w:val="20"/>
        </w:rPr>
        <w:t xml:space="preserve">pany number </w:t>
      </w:r>
      <w:r>
        <w:rPr>
          <w:rStyle w:val="Strong"/>
          <w:rFonts w:cs="Times New Roman" w:ascii="Times New Roman" w:hAnsi="Times New Roman"/>
          <w:b/>
          <w:bCs/>
          <w:sz w:val="20"/>
          <w:szCs w:val="20"/>
        </w:rPr>
        <w:t xml:space="preserve">12924736  </w:t>
      </w:r>
    </w:p>
    <w:p>
      <w:pPr>
        <w:pStyle w:val="Normal"/>
        <w:spacing w:before="0" w:after="160"/>
        <w:rPr>
          <w:rFonts w:ascii="Times New Roman" w:hAnsi="Times New Roman" w:eastAsia="Times New Roman" w:cs="Times New Roman"/>
          <w:sz w:val="20"/>
          <w:szCs w:val="20"/>
          <w:lang w:eastAsia="en-GB"/>
        </w:rPr>
      </w:pPr>
      <w:r>
        <w:rPr/>
        <w:drawing>
          <wp:anchor behindDoc="1" distT="0" distB="0" distL="0" distR="0" simplePos="0" locked="0" layoutInCell="0" allowOverlap="1" relativeHeight="3">
            <wp:simplePos x="0" y="0"/>
            <wp:positionH relativeFrom="column">
              <wp:posOffset>5763260</wp:posOffset>
            </wp:positionH>
            <wp:positionV relativeFrom="paragraph">
              <wp:posOffset>8726170</wp:posOffset>
            </wp:positionV>
            <wp:extent cx="587375" cy="585470"/>
            <wp:effectExtent l="0" t="0" r="0" b="0"/>
            <wp:wrapSquare wrapText="largest"/>
            <wp:docPr id="3" name="Image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8" descr=""/>
                    <pic:cNvPicPr>
                      <a:picLocks noChangeAspect="1" noChangeArrowheads="1"/>
                    </pic:cNvPicPr>
                  </pic:nvPicPr>
                  <pic:blipFill>
                    <a:blip r:embed="rId4"/>
                    <a:stretch>
                      <a:fillRect/>
                    </a:stretch>
                  </pic:blipFill>
                  <pic:spPr bwMode="auto">
                    <a:xfrm>
                      <a:off x="0" y="0"/>
                      <a:ext cx="587375" cy="585470"/>
                    </a:xfrm>
                    <a:prstGeom prst="rect">
                      <a:avLst/>
                    </a:prstGeom>
                  </pic:spPr>
                </pic:pic>
              </a:graphicData>
            </a:graphic>
          </wp:anchor>
        </w:drawing>
      </w:r>
    </w:p>
    <w:p>
      <w:pPr>
        <w:pStyle w:val="Normal"/>
        <w:jc w:val="center"/>
        <w:rPr>
          <w:bCs w:val="false"/>
          <w:u w:val="none"/>
          <w:lang w:val="en-US"/>
        </w:rPr>
      </w:pPr>
      <w:r>
        <w:rPr>
          <w:bCs w:val="false"/>
          <w:u w:val="none"/>
          <w:lang w:val="en-US"/>
        </w:rPr>
        <w:t>SPORT MILTON KEYNES  -  GRANT CRITERIA and OBJECTIVES</w:t>
      </w:r>
    </w:p>
    <w:p>
      <w:pPr>
        <w:pStyle w:val="Normal"/>
        <w:jc w:val="both"/>
        <w:rPr>
          <w:bCs w:val="false"/>
          <w:sz w:val="20"/>
          <w:szCs w:val="20"/>
          <w:u w:val="none"/>
          <w:lang w:val="en-US"/>
        </w:rPr>
      </w:pPr>
      <w:r>
        <w:rPr>
          <w:bCs w:val="false"/>
          <w:sz w:val="20"/>
          <w:szCs w:val="20"/>
          <w:u w:val="none"/>
          <w:lang w:val="en-US"/>
        </w:rPr>
      </w:r>
    </w:p>
    <w:p>
      <w:pPr>
        <w:pStyle w:val="Normal"/>
        <w:jc w:val="both"/>
        <w:rPr>
          <w:rFonts w:cs="Arial"/>
          <w:b w:val="false"/>
          <w:sz w:val="20"/>
          <w:szCs w:val="20"/>
          <w:u w:val="none"/>
          <w:lang w:val="en-US"/>
        </w:rPr>
      </w:pPr>
      <w:r>
        <w:rPr>
          <w:rFonts w:cs="Arial"/>
          <w:b w:val="false"/>
          <w:sz w:val="20"/>
          <w:szCs w:val="20"/>
          <w:u w:val="none"/>
          <w:lang w:val="en-US"/>
        </w:rPr>
        <w:t xml:space="preserve">The following is a guide to the criteria and objectives Sport Milton Keynes uses when considering applications.  Each application is considered on its individual merits and contribution to the Milton Keynes sporting community. Our objectives are to enable growth in sport in Milton Keynes at community level and to encourage and increase youth participation. Sport Milton Keynes will not consider applications that are aimed at elite development and that do not provide long term legacy opportunities and are not sustainable. </w:t>
      </w:r>
    </w:p>
    <w:p>
      <w:pPr>
        <w:pStyle w:val="Normal"/>
        <w:numPr>
          <w:ilvl w:val="0"/>
          <w:numId w:val="1"/>
        </w:numPr>
        <w:spacing w:beforeAutospacing="1" w:after="0"/>
        <w:jc w:val="both"/>
        <w:rPr>
          <w:rFonts w:ascii="Times New Roman" w:hAnsi="Times New Roman"/>
          <w:b w:val="false"/>
          <w:sz w:val="20"/>
          <w:szCs w:val="20"/>
          <w:u w:val="none"/>
          <w:lang w:val="en-US"/>
        </w:rPr>
      </w:pPr>
      <w:r>
        <w:rPr>
          <w:rFonts w:cs="Arial"/>
          <w:b w:val="false"/>
          <w:sz w:val="20"/>
          <w:szCs w:val="20"/>
          <w:u w:val="none"/>
          <w:lang w:val="en-US"/>
        </w:rPr>
        <w:t>The Affiliation Fee is £50 p.a. for the year from 1st October to 30th September. All who join will be known as stakeholders.</w:t>
      </w:r>
    </w:p>
    <w:p>
      <w:pPr>
        <w:pStyle w:val="Normal"/>
        <w:numPr>
          <w:ilvl w:val="0"/>
          <w:numId w:val="1"/>
        </w:numPr>
        <w:spacing w:before="0" w:after="0"/>
        <w:jc w:val="both"/>
        <w:rPr>
          <w:rFonts w:ascii="Times New Roman" w:hAnsi="Times New Roman"/>
          <w:b w:val="false"/>
          <w:sz w:val="20"/>
          <w:szCs w:val="20"/>
          <w:u w:val="none"/>
          <w:lang w:val="en-US"/>
        </w:rPr>
      </w:pPr>
      <w:r>
        <w:rPr>
          <w:rFonts w:cs="Arial"/>
          <w:b w:val="false"/>
          <w:sz w:val="20"/>
          <w:szCs w:val="20"/>
          <w:u w:val="none"/>
          <w:lang w:val="en-US"/>
        </w:rPr>
        <w:t xml:space="preserve">Grant or Bursary applications may be from a school, sports club, breakfast and/or after school club. </w:t>
      </w:r>
    </w:p>
    <w:p>
      <w:pPr>
        <w:pStyle w:val="Normal"/>
        <w:numPr>
          <w:ilvl w:val="0"/>
          <w:numId w:val="1"/>
        </w:numPr>
        <w:spacing w:before="0" w:after="0"/>
        <w:jc w:val="both"/>
        <w:rPr>
          <w:rFonts w:ascii="Times New Roman" w:hAnsi="Times New Roman"/>
          <w:b w:val="false"/>
          <w:sz w:val="20"/>
          <w:szCs w:val="20"/>
          <w:u w:val="none"/>
          <w:lang w:val="en-US"/>
        </w:rPr>
      </w:pPr>
      <w:r>
        <w:rPr>
          <w:rFonts w:cs="Arial"/>
          <w:b w:val="false"/>
          <w:sz w:val="20"/>
          <w:szCs w:val="20"/>
          <w:u w:val="none"/>
          <w:lang w:val="en-US"/>
        </w:rPr>
        <w:t xml:space="preserve">In order to be considered by the Grants Panel, applications must be completed on the appropriate Sport Milton Keynes form and supported by the required documentary evidence. These forms are available from </w:t>
      </w:r>
      <w:hyperlink r:id="rId5">
        <w:r>
          <w:rPr>
            <w:rStyle w:val="Hyperlink"/>
            <w:rFonts w:cs="Arial"/>
            <w:sz w:val="20"/>
            <w:szCs w:val="20"/>
            <w:lang w:val="en-US"/>
          </w:rPr>
          <w:t>www.sportmk.co.uk</w:t>
        </w:r>
      </w:hyperlink>
      <w:r>
        <w:rPr>
          <w:rFonts w:cs="Arial"/>
          <w:sz w:val="20"/>
          <w:szCs w:val="20"/>
          <w:u w:val="none"/>
          <w:lang w:val="en-US"/>
        </w:rPr>
        <w:t xml:space="preserve"> </w:t>
      </w:r>
      <w:r>
        <w:rPr>
          <w:rFonts w:cs="Arial"/>
          <w:b w:val="false"/>
          <w:sz w:val="20"/>
          <w:szCs w:val="20"/>
          <w:u w:val="none"/>
          <w:lang w:val="en-US"/>
        </w:rPr>
        <w:t xml:space="preserve">and should be sent by e-mail only. All applications should be typed. Handwritten applications will be rejected. If help is required to complete an application or if internet access is not available, assistance is available from any Grants Panel Committee member.  </w:t>
      </w:r>
    </w:p>
    <w:p>
      <w:pPr>
        <w:pStyle w:val="Normal"/>
        <w:numPr>
          <w:ilvl w:val="0"/>
          <w:numId w:val="1"/>
        </w:numPr>
        <w:spacing w:before="0" w:afterAutospacing="1"/>
        <w:jc w:val="both"/>
        <w:rPr>
          <w:rFonts w:ascii="Times New Roman" w:hAnsi="Times New Roman"/>
          <w:b w:val="false"/>
          <w:sz w:val="20"/>
          <w:szCs w:val="20"/>
          <w:u w:val="none"/>
          <w:lang w:val="en-US"/>
        </w:rPr>
      </w:pPr>
      <w:r>
        <w:rPr>
          <w:rFonts w:cs="Arial"/>
          <w:b w:val="false"/>
          <w:sz w:val="20"/>
          <w:szCs w:val="20"/>
          <w:u w:val="none"/>
          <w:lang w:val="en-US"/>
        </w:rPr>
        <w:t xml:space="preserve">Each Grant application is assessed monthly and a decision confirmed by the Executive Committee. They may wish to contact the stakeholder to help them in reaching their decision.  </w:t>
      </w:r>
    </w:p>
    <w:p>
      <w:pPr>
        <w:pStyle w:val="Normal"/>
        <w:jc w:val="both"/>
        <w:rPr>
          <w:rFonts w:cs="Arial"/>
          <w:b w:val="false"/>
          <w:iCs/>
          <w:sz w:val="20"/>
          <w:szCs w:val="20"/>
          <w:u w:val="none"/>
          <w:lang w:val="en-US"/>
        </w:rPr>
      </w:pPr>
      <w:r>
        <w:rPr>
          <w:rFonts w:cs="Arial"/>
          <w:b w:val="false"/>
          <w:iCs/>
          <w:sz w:val="20"/>
          <w:szCs w:val="20"/>
          <w:u w:val="none"/>
          <w:lang w:val="en-US"/>
        </w:rPr>
        <w:t>Applications are considered for the following:</w:t>
      </w:r>
    </w:p>
    <w:p>
      <w:pPr>
        <w:pStyle w:val="Normal"/>
        <w:numPr>
          <w:ilvl w:val="0"/>
          <w:numId w:val="3"/>
        </w:numPr>
        <w:jc w:val="both"/>
        <w:rPr>
          <w:rFonts w:cs="Arial"/>
          <w:b w:val="false"/>
          <w:iCs/>
          <w:sz w:val="20"/>
          <w:szCs w:val="20"/>
          <w:u w:val="none"/>
          <w:lang w:val="en-US"/>
        </w:rPr>
      </w:pPr>
      <w:r>
        <w:rPr>
          <w:rFonts w:cs="Arial"/>
          <w:b w:val="false"/>
          <w:iCs/>
          <w:sz w:val="20"/>
          <w:szCs w:val="20"/>
          <w:u w:val="none"/>
          <w:lang w:val="en-US"/>
        </w:rPr>
        <w:t>Start-up Grants up to £500 for newly formed stakeholders with bank account, constitution, etc. Grants can only be awarded for specific projects and not for general donations.</w:t>
      </w:r>
    </w:p>
    <w:p>
      <w:pPr>
        <w:pStyle w:val="Normal"/>
        <w:numPr>
          <w:ilvl w:val="0"/>
          <w:numId w:val="2"/>
        </w:numPr>
        <w:jc w:val="both"/>
        <w:rPr>
          <w:rFonts w:cs="Arial"/>
          <w:b w:val="false"/>
          <w:iCs/>
          <w:sz w:val="20"/>
          <w:szCs w:val="20"/>
          <w:u w:val="none"/>
          <w:lang w:val="en-US"/>
        </w:rPr>
      </w:pPr>
      <w:r>
        <w:rPr>
          <w:rFonts w:cs="Arial"/>
          <w:b w:val="false"/>
          <w:iCs/>
          <w:sz w:val="20"/>
          <w:szCs w:val="20"/>
          <w:u w:val="none"/>
          <w:lang w:val="en-US"/>
        </w:rPr>
        <w:t>Recognised Coaching Courses are not included until funding to Sport MK is confirmed.</w:t>
      </w:r>
    </w:p>
    <w:p>
      <w:pPr>
        <w:pStyle w:val="Normal"/>
        <w:numPr>
          <w:ilvl w:val="0"/>
          <w:numId w:val="2"/>
        </w:numPr>
        <w:jc w:val="both"/>
        <w:rPr>
          <w:rFonts w:cs="Arial"/>
          <w:b w:val="false"/>
          <w:iCs/>
          <w:sz w:val="20"/>
          <w:szCs w:val="20"/>
          <w:u w:val="none"/>
          <w:lang w:val="en-US"/>
        </w:rPr>
      </w:pPr>
      <w:r>
        <w:rPr>
          <w:rFonts w:cs="Arial"/>
          <w:b w:val="false"/>
          <w:iCs/>
          <w:sz w:val="20"/>
          <w:szCs w:val="20"/>
          <w:u w:val="none"/>
          <w:shd w:fill="auto" w:val="clear"/>
          <w:lang w:val="en-US"/>
        </w:rPr>
        <w:t xml:space="preserve">Initiatives benefiting the community (e.g. Leadership Courses.) </w:t>
      </w:r>
    </w:p>
    <w:p>
      <w:pPr>
        <w:pStyle w:val="Normal"/>
        <w:numPr>
          <w:ilvl w:val="0"/>
          <w:numId w:val="2"/>
        </w:numPr>
        <w:jc w:val="both"/>
        <w:rPr>
          <w:rFonts w:cs="Arial"/>
          <w:b w:val="false"/>
          <w:iCs/>
          <w:sz w:val="20"/>
          <w:szCs w:val="20"/>
          <w:u w:val="none"/>
          <w:lang w:val="en-US"/>
        </w:rPr>
      </w:pPr>
      <w:r>
        <w:rPr>
          <w:rFonts w:cs="Arial"/>
          <w:b w:val="false"/>
          <w:iCs/>
          <w:sz w:val="20"/>
          <w:szCs w:val="20"/>
          <w:u w:val="none"/>
          <w:lang w:val="en-US"/>
        </w:rPr>
        <w:t>Equipment up to a maximum of £500. A breakdown of costs will need to be itemised on the Grant application form. We exclude clothing, general maintenance/repairs, salaries, rent and day to day administrative running costs.</w:t>
      </w:r>
    </w:p>
    <w:p>
      <w:pPr>
        <w:pStyle w:val="Normal"/>
        <w:numPr>
          <w:ilvl w:val="0"/>
          <w:numId w:val="2"/>
        </w:numPr>
        <w:jc w:val="both"/>
        <w:rPr>
          <w:rFonts w:cs="Arial"/>
          <w:b w:val="false"/>
          <w:iCs/>
          <w:sz w:val="20"/>
          <w:szCs w:val="20"/>
          <w:u w:val="none"/>
          <w:lang w:val="en-US"/>
        </w:rPr>
      </w:pPr>
      <w:r>
        <w:rPr>
          <w:rFonts w:cs="Arial"/>
          <w:b w:val="false"/>
          <w:iCs/>
          <w:sz w:val="20"/>
          <w:szCs w:val="20"/>
          <w:u w:val="none"/>
          <w:lang w:val="en-US"/>
        </w:rPr>
        <w:t xml:space="preserve">The Grants Panel has the discretion to award larger Grants up to </w:t>
      </w:r>
      <w:r>
        <w:rPr>
          <w:rFonts w:cs="Arial"/>
          <w:b w:val="false"/>
          <w:iCs/>
          <w:sz w:val="20"/>
          <w:szCs w:val="20"/>
          <w:u w:val="none"/>
          <w:shd w:fill="auto" w:val="clear"/>
          <w:lang w:val="en-US"/>
        </w:rPr>
        <w:t>£2000.</w:t>
      </w:r>
    </w:p>
    <w:p>
      <w:pPr>
        <w:pStyle w:val="Normal"/>
        <w:numPr>
          <w:ilvl w:val="0"/>
          <w:numId w:val="2"/>
        </w:numPr>
        <w:jc w:val="both"/>
        <w:rPr>
          <w:rFonts w:cs="Arial"/>
          <w:b w:val="false"/>
          <w:iCs/>
          <w:sz w:val="20"/>
          <w:szCs w:val="20"/>
          <w:u w:val="none"/>
          <w:lang w:val="en-US"/>
        </w:rPr>
      </w:pPr>
      <w:r>
        <w:rPr>
          <w:rFonts w:cs="Arial"/>
          <w:b w:val="false"/>
          <w:iCs/>
          <w:sz w:val="20"/>
          <w:szCs w:val="20"/>
          <w:u w:val="none"/>
          <w:lang w:val="en-US"/>
        </w:rPr>
        <w:t>Applications from schools must show benefit to both students and the wider Milton Keynes sporting community.</w:t>
      </w:r>
    </w:p>
    <w:p>
      <w:pPr>
        <w:pStyle w:val="Normal"/>
        <w:numPr>
          <w:ilvl w:val="0"/>
          <w:numId w:val="2"/>
        </w:numPr>
        <w:jc w:val="both"/>
        <w:rPr>
          <w:rFonts w:cs="Arial"/>
          <w:b w:val="false"/>
          <w:iCs/>
          <w:sz w:val="20"/>
          <w:szCs w:val="20"/>
          <w:u w:val="none"/>
          <w:lang w:val="en-US"/>
        </w:rPr>
      </w:pPr>
      <w:r>
        <w:rPr>
          <w:rFonts w:cs="Arial"/>
          <w:b w:val="false"/>
          <w:iCs/>
          <w:sz w:val="20"/>
          <w:szCs w:val="20"/>
          <w:u w:val="none"/>
          <w:lang w:val="en-US"/>
        </w:rPr>
        <w:t>Bursaries for talented individuals who reside within the Milton Keynes Unitary Authority boundary. The Grants Panel has discretion on residency when temporary educational/coaching needs take them out of the area. The maximum award is £300. This must be applied for and supported by a senior stakeholder official. The Bursary will be paid directly to the stakeholder, who will then pass the award on to the individual.</w:t>
      </w:r>
    </w:p>
    <w:p>
      <w:pPr>
        <w:pStyle w:val="Normal"/>
        <w:jc w:val="both"/>
        <w:rPr>
          <w:rFonts w:cs="Arial"/>
          <w:b w:val="false"/>
          <w:iCs/>
          <w:sz w:val="20"/>
          <w:szCs w:val="20"/>
          <w:u w:val="none"/>
          <w:lang w:val="en-US"/>
        </w:rPr>
      </w:pPr>
      <w:r>
        <w:rPr>
          <w:rFonts w:cs="Arial"/>
          <w:b w:val="false"/>
          <w:iCs/>
          <w:sz w:val="20"/>
          <w:szCs w:val="20"/>
          <w:u w:val="none"/>
          <w:lang w:val="en-US"/>
        </w:rPr>
      </w:r>
    </w:p>
    <w:p>
      <w:pPr>
        <w:pStyle w:val="Normal"/>
        <w:jc w:val="both"/>
        <w:rPr>
          <w:rFonts w:cs="Arial"/>
          <w:b w:val="false"/>
          <w:iCs/>
          <w:sz w:val="20"/>
          <w:szCs w:val="20"/>
          <w:u w:val="none"/>
          <w:lang w:val="en-US"/>
        </w:rPr>
      </w:pPr>
      <w:r>
        <w:rPr>
          <w:rFonts w:cs="Arial"/>
          <w:b w:val="false"/>
          <w:iCs/>
          <w:sz w:val="20"/>
          <w:szCs w:val="20"/>
          <w:u w:val="none"/>
          <w:lang w:val="en-US"/>
        </w:rPr>
        <w:t xml:space="preserve">Normally a maximum of two Grants and two Bursaries will be awarded to a stakeholder in any one year. All Grant applications (not Bursaries) must be matched by at least a 25% contribution from the stakeholder. This also applies to any large Grants awarded. The Grants Panel has the discretion to vary this in exceptional circumstances. </w:t>
      </w:r>
    </w:p>
    <w:p>
      <w:pPr>
        <w:pStyle w:val="Normal"/>
        <w:jc w:val="both"/>
        <w:rPr>
          <w:rFonts w:ascii="Times New Roman" w:hAnsi="Times New Roman"/>
          <w:b w:val="false"/>
          <w:sz w:val="20"/>
          <w:szCs w:val="20"/>
          <w:u w:val="none"/>
          <w:lang w:val="en-US"/>
        </w:rPr>
      </w:pPr>
      <w:r>
        <w:rPr>
          <w:rFonts w:ascii="Times New Roman" w:hAnsi="Times New Roman"/>
          <w:b w:val="false"/>
          <w:sz w:val="20"/>
          <w:szCs w:val="20"/>
          <w:u w:val="none"/>
          <w:lang w:val="en-US"/>
        </w:rPr>
      </w:r>
    </w:p>
    <w:p>
      <w:pPr>
        <w:pStyle w:val="Normal"/>
        <w:jc w:val="both"/>
        <w:rPr>
          <w:rFonts w:cs="Arial"/>
          <w:b w:val="false"/>
          <w:sz w:val="20"/>
          <w:szCs w:val="20"/>
          <w:u w:val="none"/>
          <w:lang w:val="en-US"/>
        </w:rPr>
      </w:pPr>
      <w:r>
        <w:rPr>
          <w:rFonts w:cs="Arial"/>
          <w:b w:val="false"/>
          <w:sz w:val="20"/>
          <w:szCs w:val="20"/>
          <w:u w:val="none"/>
          <w:lang w:val="en-US"/>
        </w:rPr>
        <w:t xml:space="preserve">In the event of an application being rejected, the stakeholder will be notified and where possible, alternative sources of funding will be suggested.  </w:t>
      </w:r>
    </w:p>
    <w:p>
      <w:pPr>
        <w:pStyle w:val="Normal"/>
        <w:jc w:val="both"/>
        <w:rPr>
          <w:rFonts w:cs="Arial"/>
          <w:b w:val="false"/>
          <w:sz w:val="20"/>
          <w:szCs w:val="20"/>
          <w:u w:val="none"/>
          <w:lang w:val="en-US"/>
        </w:rPr>
      </w:pPr>
      <w:r>
        <w:rPr>
          <w:rFonts w:cs="Arial"/>
          <w:b w:val="false"/>
          <w:sz w:val="20"/>
          <w:szCs w:val="20"/>
          <w:u w:val="none"/>
          <w:lang w:val="en-US"/>
        </w:rPr>
      </w:r>
    </w:p>
    <w:p>
      <w:pPr>
        <w:pStyle w:val="Normal"/>
        <w:jc w:val="both"/>
        <w:rPr>
          <w:rFonts w:cs="Arial"/>
          <w:b w:val="false"/>
          <w:sz w:val="20"/>
          <w:szCs w:val="20"/>
          <w:u w:val="none"/>
          <w:lang w:val="en-US"/>
        </w:rPr>
      </w:pPr>
      <w:r>
        <w:rPr>
          <w:rFonts w:cs="Arial"/>
          <w:b w:val="false"/>
          <w:sz w:val="20"/>
          <w:szCs w:val="20"/>
          <w:u w:val="none"/>
          <w:lang w:val="en-US"/>
        </w:rPr>
        <w:t>It is a condition of the Grant and/or Bursary that the recipient will be asked to provide feedback on performance associated with the award. An ‘End of Grant’ form should be completed and returned to Sport Milton Keynes. Not returning this form will affect whether future Grants are awarded. Grants to a stakeholder for the same project or bursary award may not necessarily be repeated each year.</w:t>
      </w:r>
    </w:p>
    <w:p>
      <w:pPr>
        <w:pStyle w:val="Normal"/>
        <w:spacing w:beforeAutospacing="1" w:afterAutospacing="1"/>
        <w:jc w:val="both"/>
        <w:rPr>
          <w:rFonts w:cs="Arial"/>
          <w:b w:val="false"/>
          <w:sz w:val="20"/>
          <w:szCs w:val="20"/>
          <w:u w:val="none"/>
          <w:lang w:val="en-US"/>
        </w:rPr>
      </w:pPr>
      <w:r>
        <w:rPr>
          <w:rFonts w:cs="Arial"/>
          <w:b w:val="false"/>
          <w:sz w:val="20"/>
          <w:szCs w:val="20"/>
          <w:u w:val="none"/>
          <w:lang w:val="en-US"/>
        </w:rPr>
        <w:t xml:space="preserve">Should the stakeholder cease to exist within twelve months, this must be communicated as soon as possible to Sport Milton Keynes. Any money not used for the stated purposes of the grant should be returned.  If the grant has been used for equipment then the stakeholder together with Sport Milton Keynes will seek to re-distribute this within the local sporting community.  </w:t>
      </w:r>
    </w:p>
    <w:tbl>
      <w:tblPr>
        <w:tblW w:w="10339"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183"/>
        <w:gridCol w:w="5155"/>
      </w:tblGrid>
      <w:tr>
        <w:trPr/>
        <w:tc>
          <w:tcPr>
            <w:tcW w:w="5183" w:type="dxa"/>
            <w:tcBorders>
              <w:top w:val="single" w:sz="4" w:space="0" w:color="000000"/>
              <w:left w:val="single" w:sz="4" w:space="0" w:color="000000"/>
              <w:bottom w:val="single" w:sz="4" w:space="0" w:color="000000"/>
              <w:right w:val="single" w:sz="4" w:space="0" w:color="000000"/>
            </w:tcBorders>
          </w:tcPr>
          <w:p>
            <w:pPr>
              <w:pStyle w:val="Normal"/>
              <w:rPr>
                <w:rFonts w:cs="Arial"/>
                <w:sz w:val="20"/>
                <w:szCs w:val="20"/>
                <w:u w:val="none"/>
              </w:rPr>
            </w:pPr>
            <w:r>
              <w:rPr>
                <w:rFonts w:cs="Arial"/>
                <w:sz w:val="20"/>
                <w:szCs w:val="20"/>
                <w:u w:val="none"/>
              </w:rPr>
              <w:t xml:space="preserve">                     </w:t>
            </w:r>
            <w:hyperlink r:id="rId6">
              <w:r>
                <w:rPr>
                  <w:rStyle w:val="Hyperlink"/>
                  <w:rFonts w:cs="Arial"/>
                  <w:sz w:val="20"/>
                  <w:szCs w:val="20"/>
                </w:rPr>
                <w:t>www.sportmk.co.uk</w:t>
              </w:r>
            </w:hyperlink>
          </w:p>
        </w:tc>
        <w:tc>
          <w:tcPr>
            <w:tcW w:w="5155" w:type="dxa"/>
            <w:tcBorders>
              <w:top w:val="single" w:sz="4" w:space="0" w:color="000000"/>
              <w:left w:val="single" w:sz="4" w:space="0" w:color="000000"/>
              <w:bottom w:val="single" w:sz="4" w:space="0" w:color="000000"/>
              <w:right w:val="single" w:sz="4" w:space="0" w:color="000000"/>
            </w:tcBorders>
          </w:tcPr>
          <w:p>
            <w:pPr>
              <w:pStyle w:val="Normal"/>
              <w:rPr>
                <w:rFonts w:cs="Arial"/>
                <w:b w:val="false"/>
                <w:sz w:val="20"/>
                <w:szCs w:val="20"/>
                <w:u w:val="none"/>
              </w:rPr>
            </w:pPr>
            <w:r>
              <w:rPr>
                <w:rFonts w:cs="Arial"/>
                <w:b w:val="false"/>
                <w:sz w:val="20"/>
                <w:szCs w:val="20"/>
                <w:u w:val="none"/>
              </w:rPr>
              <w:t xml:space="preserve"> </w:t>
            </w:r>
            <w:r>
              <w:rPr>
                <w:rFonts w:cs="Arial"/>
                <w:b w:val="false"/>
                <w:sz w:val="20"/>
                <w:szCs w:val="20"/>
                <w:u w:val="none"/>
              </w:rPr>
              <w:t xml:space="preserve">Sport Milton Keynes CIC 12924736           </w:t>
            </w:r>
            <w:r>
              <w:rPr>
                <w:rFonts w:cs="Arial"/>
                <w:b w:val="false"/>
                <w:sz w:val="20"/>
                <w:szCs w:val="20"/>
                <w:u w:val="none"/>
                <w:shd w:fill="auto" w:val="clear"/>
              </w:rPr>
              <w:t xml:space="preserve"> 09/09/2026</w:t>
            </w:r>
          </w:p>
        </w:tc>
      </w:tr>
    </w:tbl>
    <w:p>
      <w:pPr>
        <w:pStyle w:val="Normal"/>
        <w:spacing w:beforeAutospacing="1" w:afterAutospacing="1"/>
        <w:ind w:firstLine="720" w:left="6480"/>
        <w:rPr>
          <w:b w:val="false"/>
          <w:u w:val="none"/>
          <w:lang w:val="en-US"/>
        </w:rPr>
      </w:pPr>
      <w:r>
        <w:rPr>
          <w:b w:val="false"/>
          <w:u w:val="none"/>
          <w:lang w:val="en-US"/>
        </w:rPr>
      </w:r>
    </w:p>
    <w:p>
      <w:pPr>
        <w:pStyle w:val="Normal"/>
        <w:spacing w:beforeAutospacing="1" w:afterAutospacing="1"/>
        <w:ind w:firstLine="720" w:left="6480"/>
        <w:rPr>
          <w:b w:val="false"/>
          <w:u w:val="none"/>
          <w:lang w:val="en-US"/>
        </w:rPr>
      </w:pPr>
      <w:r>
        <w:rPr>
          <w:b w:val="false"/>
          <w:u w:val="none"/>
          <w:lang w:val="en-US"/>
        </w:rPr>
      </w:r>
    </w:p>
    <w:sectPr>
      <w:type w:val="nextPage"/>
      <w:pgSz w:w="11906" w:h="16838"/>
      <w:pgMar w:left="709" w:right="849" w:gutter="0" w:header="0" w:top="284" w:footer="0" w:bottom="28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Liberation Sans">
    <w:altName w:val="Arial"/>
    <w:charset w:val="01"/>
    <w:family w:val="swiss"/>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3">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en-GB"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before="0" w:after="0"/>
      <w:jc w:val="left"/>
    </w:pPr>
    <w:rPr>
      <w:rFonts w:ascii="Arial" w:hAnsi="Arial" w:eastAsia="Times New Roman" w:cs="Times New Roman"/>
      <w:b/>
      <w:bCs/>
      <w:color w:val="auto"/>
      <w:kern w:val="0"/>
      <w:sz w:val="24"/>
      <w:szCs w:val="24"/>
      <w:u w:val="single"/>
      <w:lang w:eastAsia="en-GB" w:val="en-GB" w:bidi="ar-SA"/>
    </w:rPr>
  </w:style>
  <w:style w:type="character" w:styleId="DefaultParagraphFont" w:default="1">
    <w:name w:val="Default Paragraph Font"/>
    <w:uiPriority w:val="1"/>
    <w:semiHidden/>
    <w:unhideWhenUsed/>
    <w:qFormat/>
    <w:rPr/>
  </w:style>
  <w:style w:type="character" w:styleId="Strong">
    <w:name w:val="Strong"/>
    <w:qFormat/>
    <w:rsid w:val="00401b97"/>
    <w:rPr>
      <w:b/>
      <w:bCs/>
    </w:rPr>
  </w:style>
  <w:style w:type="character" w:styleId="Emphasis">
    <w:name w:val="Emphasis"/>
    <w:qFormat/>
    <w:rsid w:val="00401b97"/>
    <w:rPr>
      <w:i/>
      <w:iCs/>
    </w:rPr>
  </w:style>
  <w:style w:type="character" w:styleId="Hyperlink">
    <w:name w:val="Hyperlink"/>
    <w:rsid w:val="00dc4dbe"/>
    <w:rPr>
      <w:color w:val="0000FF"/>
      <w:u w:val="single"/>
    </w:rPr>
  </w:style>
  <w:style w:type="character" w:styleId="sp-copyright">
    <w:name w:val="sp-copyright"/>
    <w:basedOn w:val="DefaultParagraphFont"/>
    <w:qFormat/>
    <w:rPr/>
  </w:style>
  <w:style w:type="paragraph" w:styleId="Heading">
    <w:name w:val="Heading"/>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rPr>
  </w:style>
  <w:style w:type="paragraph" w:styleId="NormalWeb">
    <w:name w:val="Normal (Web)"/>
    <w:basedOn w:val="Normal"/>
    <w:qFormat/>
    <w:rsid w:val="00401b97"/>
    <w:pPr>
      <w:spacing w:beforeAutospacing="1" w:afterAutospacing="1"/>
    </w:pPr>
    <w:rPr>
      <w:rFonts w:ascii="Times New Roman" w:hAnsi="Times New Roman"/>
      <w:b w:val="false"/>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rsid w:val="00dc4db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hyperlink" Target="http://www.sportmk.co.uk/" TargetMode="External"/><Relationship Id="rId6" Type="http://schemas.openxmlformats.org/officeDocument/2006/relationships/hyperlink" Target="../../../../Downloads/www.sportmk.co.uk" TargetMode="Externa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pitchFamily="0" charset="1"/>
        <a:ea typeface=""/>
        <a:cs typeface=""/>
      </a:majorFont>
      <a:minorFont>
        <a:latin typeface="Aptos" panose="0211000402020202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12700" cap="flat" cmpd="sng" algn="ctr">
          <a:prstDash val="solid"/>
          <a:miter lim="800000"/>
        </a:ln>
        <a:ln w="19050" cap="flat" cmpd="sng" algn="ctr">
          <a:prstDash val="solid"/>
          <a:miter lim="800000"/>
        </a:ln>
        <a:ln w="2540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16</TotalTime>
  <Application>LibreOffice/24.2.7.2$Linux_X86_64 LibreOffice_project/420$Build-2</Application>
  <AppVersion>15.0000</AppVersion>
  <Pages>1</Pages>
  <Words>644</Words>
  <Characters>3400</Characters>
  <CharactersWithSpaces>4073</CharactersWithSpaces>
  <Paragraphs>23</Paragraphs>
  <Company>Ferrada Financial Services</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2026-09-09T11:06:00Z</dcterms:created>
  <dc:creator>Alex Ferrada</dc:creator>
  <dc:description/>
  <dc:language>en-GB</dc:language>
  <cp:lastModifiedBy/>
  <cp:lastPrinted>2023-10-06T09:49:00Z</cp:lastPrinted>
  <dcterms:modified xsi:type="dcterms:W3CDTF">2026-09-09T15:46:01Z</dcterms:modified>
  <cp:revision>3</cp:revision>
  <dc:subject/>
  <dc:title>SPORT MILTON KEYNES   -     GRANT CRITERIA</dc:title>
</cp:coreProperties>
</file>

<file path=docProps/custom.xml><?xml version="1.0" encoding="utf-8"?>
<Properties xmlns="http://schemas.openxmlformats.org/officeDocument/2006/custom-properties" xmlns:vt="http://schemas.openxmlformats.org/officeDocument/2006/docPropsVTypes"/>
</file>